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DB" w:rsidRPr="00D107F9" w:rsidRDefault="00DC5C4E" w:rsidP="00A23390">
      <w:pPr>
        <w:widowControl w:val="0"/>
        <w:spacing w:before="100" w:beforeAutospacing="1" w:after="100" w:afterAutospacing="1" w:line="360" w:lineRule="auto"/>
        <w:ind w:right="-164"/>
        <w:jc w:val="both"/>
        <w:rPr>
          <w:rFonts w:ascii="Palatino Linotype" w:eastAsia="Calibri" w:hAnsi="Palatino Linotype" w:cs="Arial"/>
          <w:b/>
          <w:color w:val="000000"/>
        </w:rPr>
      </w:pPr>
      <w:r w:rsidRPr="00C8035B">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8B22AB">
        <w:rPr>
          <w:rFonts w:ascii="Palatino Linotype" w:hAnsi="Palatino Linotype" w:cs="Arial"/>
          <w:b/>
        </w:rPr>
        <w:t>O DE MÉXICO Y MUNICIPIOS, EN LA</w:t>
      </w:r>
      <w:r w:rsidR="005779CE">
        <w:rPr>
          <w:rFonts w:ascii="Palatino Linotype" w:hAnsi="Palatino Linotype" w:cs="Arial"/>
          <w:b/>
        </w:rPr>
        <w:t xml:space="preserve"> </w:t>
      </w:r>
      <w:r w:rsidR="0053698C">
        <w:rPr>
          <w:rFonts w:ascii="Palatino Linotype" w:hAnsi="Palatino Linotype" w:cs="Arial"/>
          <w:b/>
        </w:rPr>
        <w:t>CUADRAGÉSIMA</w:t>
      </w:r>
      <w:r w:rsidR="00C8035B" w:rsidRPr="00C8035B">
        <w:rPr>
          <w:rFonts w:ascii="Palatino Linotype" w:hAnsi="Palatino Linotype" w:cs="Arial"/>
          <w:b/>
        </w:rPr>
        <w:t xml:space="preserve"> </w:t>
      </w:r>
      <w:r w:rsidRPr="00C8035B">
        <w:rPr>
          <w:rFonts w:ascii="Palatino Linotype" w:hAnsi="Palatino Linotype" w:cs="Arial"/>
          <w:b/>
        </w:rPr>
        <w:t xml:space="preserve">SESIÓN ORDINARIA DE </w:t>
      </w:r>
      <w:r w:rsidR="0053698C">
        <w:rPr>
          <w:rFonts w:ascii="Palatino Linotype" w:hAnsi="Palatino Linotype" w:cs="Arial"/>
          <w:b/>
        </w:rPr>
        <w:t>TREINTA Y UNO</w:t>
      </w:r>
      <w:r w:rsidR="003E383D">
        <w:rPr>
          <w:rFonts w:ascii="Palatino Linotype" w:hAnsi="Palatino Linotype" w:cs="Arial"/>
          <w:b/>
        </w:rPr>
        <w:t xml:space="preserve"> DE OCTUBRE</w:t>
      </w:r>
      <w:r w:rsidR="00174F2A" w:rsidRPr="00C8035B">
        <w:rPr>
          <w:rFonts w:ascii="Palatino Linotype" w:hAnsi="Palatino Linotype" w:cs="Arial"/>
          <w:b/>
        </w:rPr>
        <w:t xml:space="preserve"> </w:t>
      </w:r>
      <w:r w:rsidR="008B22AB">
        <w:rPr>
          <w:rFonts w:ascii="Palatino Linotype" w:hAnsi="Palatino Linotype" w:cs="Arial"/>
          <w:b/>
        </w:rPr>
        <w:t>DE DOS MIL DIECIOCHO</w:t>
      </w:r>
      <w:r w:rsidRPr="00C8035B">
        <w:rPr>
          <w:rFonts w:ascii="Palatino Linotype" w:hAnsi="Palatino Linotype" w:cs="Arial"/>
          <w:b/>
        </w:rPr>
        <w:t>, EN EL RECURSO DE REVISIÓN 0</w:t>
      </w:r>
      <w:r w:rsidR="0053698C">
        <w:rPr>
          <w:rFonts w:ascii="Palatino Linotype" w:hAnsi="Palatino Linotype" w:cs="Arial"/>
          <w:b/>
        </w:rPr>
        <w:t>3288</w:t>
      </w:r>
      <w:r w:rsidR="005779CE">
        <w:rPr>
          <w:rFonts w:ascii="Palatino Linotype" w:hAnsi="Palatino Linotype" w:cs="Arial"/>
          <w:b/>
        </w:rPr>
        <w:t>/INFOEM/IP/RR/2018</w:t>
      </w:r>
      <w:r w:rsidRPr="00C8035B">
        <w:rPr>
          <w:rFonts w:ascii="Palatino Linotype" w:eastAsia="Calibri" w:hAnsi="Palatino Linotype" w:cs="Arial"/>
          <w:b/>
          <w:color w:val="000000"/>
        </w:rPr>
        <w:t>.</w:t>
      </w:r>
    </w:p>
    <w:p w:rsidR="00DC5C4E" w:rsidRPr="00C8035B" w:rsidRDefault="00DC5C4E"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AE2899">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Pr="00C8035B">
        <w:rPr>
          <w:rFonts w:ascii="Palatino Linotype" w:eastAsia="Calibri" w:hAnsi="Palatino Linotype" w:cs="Arial"/>
          <w:b/>
          <w:color w:val="000000"/>
        </w:rPr>
        <w:t>0</w:t>
      </w:r>
      <w:r w:rsidR="0053698C">
        <w:rPr>
          <w:rFonts w:ascii="Palatino Linotype" w:eastAsia="Calibri" w:hAnsi="Palatino Linotype" w:cs="Arial"/>
          <w:b/>
          <w:color w:val="000000"/>
        </w:rPr>
        <w:t>3288</w:t>
      </w:r>
      <w:r w:rsidR="005779CE">
        <w:rPr>
          <w:rFonts w:ascii="Palatino Linotype" w:eastAsia="Calibri" w:hAnsi="Palatino Linotype" w:cs="Arial"/>
          <w:b/>
          <w:color w:val="000000"/>
        </w:rPr>
        <w:t>/INFOEM/IP/RR/2018</w:t>
      </w:r>
      <w:r w:rsidRPr="00C8035B">
        <w:rPr>
          <w:rFonts w:ascii="Palatino Linotype" w:hAnsi="Palatino Linotype" w:cs="Arial"/>
        </w:rPr>
        <w:t>, pronunciada por el Pleno de este Instit</w:t>
      </w:r>
      <w:r w:rsidR="005779CE">
        <w:rPr>
          <w:rFonts w:ascii="Palatino Linotype" w:hAnsi="Palatino Linotype" w:cs="Arial"/>
        </w:rPr>
        <w:t xml:space="preserve">uto ante el proyecto presentado </w:t>
      </w:r>
      <w:r w:rsidRPr="00C8035B">
        <w:rPr>
          <w:rFonts w:ascii="Palatino Linotype" w:hAnsi="Palatino Linotype" w:cs="Arial"/>
        </w:rPr>
        <w:t xml:space="preserve">por 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DC5C4E"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w:t>
      </w:r>
      <w:proofErr w:type="gramStart"/>
      <w:r w:rsidRPr="00C8035B">
        <w:rPr>
          <w:rFonts w:ascii="Palatino Linotype" w:hAnsi="Palatino Linotype"/>
        </w:rPr>
        <w:t>resolución</w:t>
      </w:r>
      <w:proofErr w:type="gramEnd"/>
      <w:r w:rsidRPr="00C8035B">
        <w:rPr>
          <w:rFonts w:ascii="Palatino Linotype" w:hAnsi="Palatino Linotype"/>
        </w:rPr>
        <w:t xml:space="preserve"> del recurso de revisión; empero, considero necesario precisar </w:t>
      </w:r>
      <w:r w:rsidR="00B31030">
        <w:rPr>
          <w:rFonts w:ascii="Palatino Linotype" w:hAnsi="Palatino Linotype"/>
        </w:rPr>
        <w:t>algunas cuestiones</w:t>
      </w:r>
      <w:r w:rsidRPr="00C8035B">
        <w:rPr>
          <w:rFonts w:ascii="Palatino Linotype" w:hAnsi="Palatino Linotype"/>
        </w:rPr>
        <w:t xml:space="preserve">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C8035B"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Al respecto, tal y como quedó debidamente asentado en la resoluci</w:t>
      </w:r>
      <w:r w:rsidR="003F0E93">
        <w:rPr>
          <w:rFonts w:ascii="Palatino Linotype" w:hAnsi="Palatino Linotype"/>
        </w:rPr>
        <w:t>ón materia del presente voto, el</w:t>
      </w:r>
      <w:r w:rsidRPr="00C8035B">
        <w:rPr>
          <w:rFonts w:ascii="Palatino Linotype" w:hAnsi="Palatino Linotype"/>
        </w:rPr>
        <w:t xml:space="preserve"> particular </w:t>
      </w:r>
      <w:r w:rsidR="00B51260" w:rsidRPr="00C8035B">
        <w:rPr>
          <w:rFonts w:ascii="Palatino Linotype" w:hAnsi="Palatino Linotype"/>
        </w:rPr>
        <w:t>requirió del</w:t>
      </w:r>
      <w:r w:rsidR="003A1BFA">
        <w:rPr>
          <w:rFonts w:ascii="Palatino Linotype" w:hAnsi="Palatino Linotype"/>
        </w:rPr>
        <w:t xml:space="preserve"> </w:t>
      </w:r>
      <w:r w:rsidR="0053698C">
        <w:rPr>
          <w:rFonts w:ascii="Palatino Linotype" w:hAnsi="Palatino Linotype" w:cs="Arial"/>
          <w:b/>
        </w:rPr>
        <w:t>Partido Morena</w:t>
      </w:r>
      <w:r w:rsidR="00AE2899">
        <w:rPr>
          <w:rFonts w:ascii="Palatino Linotype" w:hAnsi="Palatino Linotype"/>
        </w:rPr>
        <w:t>,</w:t>
      </w:r>
      <w:r w:rsidR="00921F51">
        <w:rPr>
          <w:rFonts w:ascii="Palatino Linotype" w:hAnsi="Palatino Linotype"/>
        </w:rPr>
        <w:t xml:space="preserve"> en lo subsecuente</w:t>
      </w:r>
      <w:r w:rsidR="00017A8B" w:rsidRPr="00C8035B">
        <w:rPr>
          <w:rFonts w:ascii="Palatino Linotype" w:hAnsi="Palatino Linotype"/>
        </w:rPr>
        <w:t xml:space="preserve"> </w:t>
      </w:r>
      <w:r w:rsidR="003E383D" w:rsidRPr="003E383D">
        <w:rPr>
          <w:rFonts w:ascii="Palatino Linotype" w:hAnsi="Palatino Linotype"/>
          <w:b/>
        </w:rPr>
        <w:t xml:space="preserve">EL </w:t>
      </w:r>
      <w:r w:rsidRPr="00C8035B">
        <w:rPr>
          <w:rFonts w:ascii="Palatino Linotype" w:hAnsi="Palatino Linotype"/>
          <w:b/>
        </w:rPr>
        <w:t>SUJETO OBLIGADO</w:t>
      </w:r>
      <w:r w:rsidR="00B31030">
        <w:rPr>
          <w:rFonts w:ascii="Palatino Linotype" w:hAnsi="Palatino Linotype"/>
          <w:b/>
        </w:rPr>
        <w:t xml:space="preserve">, </w:t>
      </w:r>
      <w:r w:rsidR="00B31030">
        <w:rPr>
          <w:rFonts w:ascii="Palatino Linotype" w:hAnsi="Palatino Linotype"/>
        </w:rPr>
        <w:t>la siguiente información:</w:t>
      </w:r>
    </w:p>
    <w:p w:rsidR="00B31030" w:rsidRPr="003A1BFA" w:rsidRDefault="003A1BFA" w:rsidP="003A1BFA">
      <w:pPr>
        <w:spacing w:before="100" w:beforeAutospacing="1" w:after="100" w:afterAutospacing="1"/>
        <w:ind w:left="851" w:right="757"/>
        <w:jc w:val="both"/>
        <w:rPr>
          <w:rFonts w:ascii="Palatino Linotype" w:eastAsia="Calibri" w:hAnsi="Palatino Linotype" w:cs="Arial"/>
          <w:i/>
          <w:sz w:val="22"/>
        </w:rPr>
      </w:pPr>
      <w:r>
        <w:rPr>
          <w:rFonts w:ascii="Palatino Linotype" w:eastAsia="Calibri" w:hAnsi="Palatino Linotype" w:cs="Arial"/>
          <w:i/>
          <w:sz w:val="22"/>
        </w:rPr>
        <w:lastRenderedPageBreak/>
        <w:t>“</w:t>
      </w:r>
      <w:r w:rsidR="0053698C" w:rsidRPr="0053698C">
        <w:rPr>
          <w:rFonts w:ascii="Palatino Linotype" w:eastAsia="Calibri" w:hAnsi="Palatino Linotype" w:cs="Arial"/>
          <w:i/>
          <w:sz w:val="22"/>
        </w:rPr>
        <w:t>REQUIERO ME ENVÍEN EL PADRÓN DE MILITANTES DEL PARTIDO MORENA A LA FECHA, DONDE CONTENGA DOMICILIOS, NOMBRES Y CORREOS ELECTRÓNICOS</w:t>
      </w:r>
      <w:r w:rsidR="00313B93" w:rsidRPr="00313B93">
        <w:rPr>
          <w:rFonts w:ascii="Palatino Linotype" w:eastAsia="Calibri" w:hAnsi="Palatino Linotype" w:cs="Arial"/>
          <w:i/>
          <w:sz w:val="22"/>
        </w:rPr>
        <w:t>.</w:t>
      </w:r>
      <w:r w:rsidR="004C16FA" w:rsidRPr="00106889">
        <w:rPr>
          <w:rFonts w:ascii="Palatino Linotype" w:eastAsia="Calibri" w:hAnsi="Palatino Linotype" w:cs="Arial"/>
          <w:i/>
          <w:sz w:val="22"/>
        </w:rPr>
        <w:t>” (Sic.)</w:t>
      </w:r>
    </w:p>
    <w:p w:rsidR="00C8035B" w:rsidRPr="001D69FC" w:rsidRDefault="00B51260" w:rsidP="00A23390">
      <w:pPr>
        <w:spacing w:before="100" w:beforeAutospacing="1" w:after="100" w:afterAutospacing="1" w:line="360" w:lineRule="auto"/>
        <w:jc w:val="both"/>
        <w:rPr>
          <w:rFonts w:ascii="Palatino Linotype" w:eastAsia="MS Mincho" w:hAnsi="Palatino Linotype" w:cstheme="majorBidi"/>
          <w:lang w:val="es-ES_tradn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106889">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C8035B">
        <w:rPr>
          <w:rFonts w:ascii="Palatino Linotype" w:hAnsi="Palatino Linotype" w:cs="Arial"/>
          <w:b/>
        </w:rPr>
        <w:t xml:space="preserve"> </w:t>
      </w:r>
      <w:r w:rsidR="0053698C">
        <w:rPr>
          <w:rFonts w:ascii="Palatino Linotype" w:hAnsi="Palatino Linotype" w:cs="Arial"/>
        </w:rPr>
        <w:t>fue omiso en presentar su respuesta</w:t>
      </w:r>
      <w:r w:rsidR="00313B93" w:rsidRPr="0047073A">
        <w:rPr>
          <w:rFonts w:ascii="Palatino Linotype" w:eastAsia="MS Mincho" w:hAnsi="Palatino Linotype"/>
          <w:lang w:val="es-ES_tradnl"/>
        </w:rPr>
        <w:t>.</w:t>
      </w:r>
    </w:p>
    <w:p w:rsidR="00DC5C4E" w:rsidRPr="00C8035B" w:rsidRDefault="00106889" w:rsidP="00A23390">
      <w:pPr>
        <w:spacing w:before="100" w:beforeAutospacing="1" w:after="100" w:afterAutospacing="1" w:line="360" w:lineRule="auto"/>
        <w:jc w:val="both"/>
        <w:rPr>
          <w:rFonts w:ascii="Palatino Linotype" w:hAnsi="Palatino Linotype" w:cs="Arial"/>
        </w:rPr>
      </w:pPr>
      <w:r w:rsidRPr="00DE48DF">
        <w:rPr>
          <w:rFonts w:ascii="Palatino Linotype" w:hAnsi="Palatino Linotype"/>
        </w:rPr>
        <w:t xml:space="preserve">Inconforme con la </w:t>
      </w:r>
      <w:r w:rsidR="0022349E">
        <w:rPr>
          <w:rFonts w:ascii="Palatino Linotype" w:hAnsi="Palatino Linotype"/>
        </w:rPr>
        <w:t xml:space="preserve">falta de </w:t>
      </w:r>
      <w:r w:rsidRPr="00DE48DF">
        <w:rPr>
          <w:rFonts w:ascii="Palatino Linotype" w:hAnsi="Palatino Linotype"/>
        </w:rPr>
        <w:t xml:space="preserve">respuesta, </w:t>
      </w:r>
      <w:r w:rsidR="003F0E93">
        <w:rPr>
          <w:rFonts w:ascii="Palatino Linotype" w:hAnsi="Palatino Linotype"/>
        </w:rPr>
        <w:t>el</w:t>
      </w:r>
      <w:r w:rsidRPr="00DE48DF">
        <w:rPr>
          <w:rFonts w:ascii="Palatino Linotype" w:hAnsi="Palatino Linotype"/>
          <w:b/>
        </w:rPr>
        <w:t xml:space="preserve"> </w:t>
      </w:r>
      <w:r w:rsidRPr="00DE48DF">
        <w:rPr>
          <w:rFonts w:ascii="Palatino Linotype" w:hAnsi="Palatino Linotype"/>
        </w:rPr>
        <w:t xml:space="preserve">ahora </w:t>
      </w:r>
      <w:r w:rsidRPr="00DE48DF">
        <w:rPr>
          <w:rFonts w:ascii="Palatino Linotype" w:hAnsi="Palatino Linotype"/>
          <w:b/>
        </w:rPr>
        <w:t>RECURRENTE</w:t>
      </w:r>
      <w:r w:rsidRPr="00DE48DF">
        <w:rPr>
          <w:rFonts w:ascii="Palatino Linotype" w:hAnsi="Palatino Linotype"/>
        </w:rPr>
        <w:t xml:space="preserve"> interpuso el recurso de revisión al rubro señalado, en el que </w:t>
      </w:r>
      <w:r w:rsidR="00285CD1">
        <w:rPr>
          <w:rFonts w:ascii="Palatino Linotype" w:hAnsi="Palatino Linotype" w:cs="Arial"/>
        </w:rPr>
        <w:t>manifestó</w:t>
      </w:r>
      <w:r w:rsidR="00674942">
        <w:rPr>
          <w:rFonts w:ascii="Palatino Linotype" w:hAnsi="Palatino Linotype" w:cs="Arial"/>
        </w:rPr>
        <w:t xml:space="preserve"> </w:t>
      </w:r>
      <w:r w:rsidR="00236809">
        <w:rPr>
          <w:rFonts w:ascii="Palatino Linotype" w:hAnsi="Palatino Linotype" w:cs="Arial"/>
        </w:rPr>
        <w:t xml:space="preserve">medularmente </w:t>
      </w:r>
      <w:r w:rsidR="00674942">
        <w:rPr>
          <w:rFonts w:ascii="Palatino Linotype" w:hAnsi="Palatino Linotype" w:cs="Arial"/>
        </w:rPr>
        <w:t>como razones o motivos de in</w:t>
      </w:r>
      <w:r w:rsidR="00285CD1">
        <w:rPr>
          <w:rFonts w:ascii="Palatino Linotype" w:hAnsi="Palatino Linotype" w:cs="Arial"/>
        </w:rPr>
        <w:t xml:space="preserve">conformidad </w:t>
      </w:r>
      <w:r w:rsidR="0053698C">
        <w:rPr>
          <w:rFonts w:ascii="Palatino Linotype" w:hAnsi="Palatino Linotype" w:cs="Arial"/>
        </w:rPr>
        <w:t xml:space="preserve">la </w:t>
      </w:r>
      <w:r w:rsidR="0022349E">
        <w:rPr>
          <w:rFonts w:ascii="Palatino Linotype" w:hAnsi="Palatino Linotype" w:cs="Arial"/>
        </w:rPr>
        <w:t xml:space="preserve">falta de </w:t>
      </w:r>
      <w:r w:rsidR="00E47F06">
        <w:rPr>
          <w:rFonts w:ascii="Palatino Linotype" w:hAnsi="Palatino Linotype" w:cs="Arial"/>
        </w:rPr>
        <w:t>trámite</w:t>
      </w:r>
      <w:r w:rsidR="0022349E">
        <w:rPr>
          <w:rFonts w:ascii="Palatino Linotype" w:hAnsi="Palatino Linotype" w:cs="Arial"/>
        </w:rPr>
        <w:t xml:space="preserve"> a su solicitud</w:t>
      </w:r>
      <w:r>
        <w:rPr>
          <w:rFonts w:ascii="Palatino Linotype" w:hAnsi="Palatino Linotype" w:cs="Arial"/>
        </w:rPr>
        <w:t>.</w:t>
      </w:r>
    </w:p>
    <w:p w:rsidR="00E15CE2" w:rsidRDefault="00B51260" w:rsidP="00A23390">
      <w:pPr>
        <w:spacing w:before="100" w:beforeAutospacing="1" w:after="100" w:afterAutospacing="1" w:line="360" w:lineRule="auto"/>
        <w:jc w:val="both"/>
        <w:rPr>
          <w:rFonts w:ascii="Palatino Linotype" w:eastAsia="Calibri"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53698C">
        <w:rPr>
          <w:rFonts w:ascii="Palatino Linotype" w:hAnsi="Palatino Linotype" w:cs="Arial"/>
          <w:b/>
        </w:rPr>
        <w:t>ORDENAR</w:t>
      </w:r>
      <w:r w:rsidR="00E15CE2" w:rsidRPr="00C8035B">
        <w:rPr>
          <w:rFonts w:ascii="Palatino Linotype" w:hAnsi="Palatino Linotype" w:cs="Arial"/>
          <w:b/>
        </w:rPr>
        <w:t xml:space="preserve"> </w:t>
      </w:r>
      <w:r w:rsidR="0053698C">
        <w:rPr>
          <w:rFonts w:ascii="Palatino Linotype" w:hAnsi="Palatino Linotype" w:cs="Arial"/>
        </w:rPr>
        <w:t>al</w:t>
      </w:r>
      <w:r w:rsidR="00E15CE2" w:rsidRPr="00C8035B">
        <w:rPr>
          <w:rFonts w:ascii="Palatino Linotype" w:hAnsi="Palatino Linotype" w:cs="Arial"/>
        </w:rPr>
        <w:t xml:space="preserve">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767B65" w:rsidRPr="00C8035B">
        <w:rPr>
          <w:rFonts w:ascii="Palatino Linotype" w:hAnsi="Palatino Linotype" w:cs="Arial"/>
        </w:rPr>
        <w:t xml:space="preserve"> </w:t>
      </w:r>
      <w:r w:rsidR="001A7CEE" w:rsidRPr="00C8035B">
        <w:rPr>
          <w:rFonts w:ascii="Palatino Linotype" w:hAnsi="Palatino Linotype" w:cs="Arial"/>
        </w:rPr>
        <w:t xml:space="preserve">y </w:t>
      </w:r>
      <w:r w:rsidR="00DC5C4E" w:rsidRPr="00C8035B">
        <w:rPr>
          <w:rFonts w:ascii="Palatino Linotype" w:hAnsi="Palatino Linotype" w:cs="Arial"/>
        </w:rPr>
        <w:t>en versión pública</w:t>
      </w:r>
      <w:r w:rsidR="001A7CEE" w:rsidRPr="00C8035B">
        <w:rPr>
          <w:rFonts w:ascii="Palatino Linotype" w:hAnsi="Palatino Linotype" w:cs="Arial"/>
        </w:rPr>
        <w:t xml:space="preserve"> </w:t>
      </w:r>
      <w:r w:rsidR="0053698C">
        <w:rPr>
          <w:rFonts w:ascii="Palatino Linotype" w:hAnsi="Palatino Linotype" w:cs="Arial"/>
        </w:rPr>
        <w:t xml:space="preserve">de ser procedente </w:t>
      </w:r>
      <w:r w:rsidR="00E15CE2" w:rsidRPr="00C8035B">
        <w:rPr>
          <w:rFonts w:ascii="Palatino Linotype" w:hAnsi="Palatino Linotype" w:cs="Arial"/>
        </w:rPr>
        <w:t xml:space="preserve">de </w:t>
      </w:r>
      <w:r w:rsidR="001A7CEE" w:rsidRPr="00C8035B">
        <w:rPr>
          <w:rFonts w:ascii="Palatino Linotype" w:hAnsi="Palatino Linotype" w:cs="Arial"/>
        </w:rPr>
        <w:t>la</w:t>
      </w:r>
      <w:r w:rsidR="003E383D">
        <w:rPr>
          <w:rFonts w:ascii="Palatino Linotype" w:eastAsia="Calibri" w:hAnsi="Palatino Linotype" w:cs="Arial"/>
        </w:rPr>
        <w:t xml:space="preserve"> siguiente información:</w:t>
      </w:r>
    </w:p>
    <w:p w:rsidR="001A23E2" w:rsidRPr="001A23E2" w:rsidRDefault="003E383D" w:rsidP="001A23E2">
      <w:pPr>
        <w:pStyle w:val="Prrafodelista"/>
        <w:numPr>
          <w:ilvl w:val="0"/>
          <w:numId w:val="3"/>
        </w:numPr>
        <w:spacing w:line="360" w:lineRule="auto"/>
        <w:ind w:left="993" w:right="757"/>
        <w:jc w:val="both"/>
        <w:rPr>
          <w:rFonts w:ascii="Palatino Linotype" w:eastAsia="Times New Roman" w:hAnsi="Palatino Linotype" w:cs="Times New Roman"/>
          <w:i/>
          <w:sz w:val="22"/>
          <w:szCs w:val="22"/>
          <w:lang w:val="es-ES"/>
        </w:rPr>
      </w:pPr>
      <w:r w:rsidRPr="003E383D">
        <w:rPr>
          <w:rFonts w:ascii="Palatino Linotype" w:eastAsia="Times New Roman" w:hAnsi="Palatino Linotype" w:cs="Times New Roman"/>
          <w:i/>
          <w:sz w:val="22"/>
          <w:szCs w:val="22"/>
          <w:lang w:val="es-ES"/>
        </w:rPr>
        <w:t xml:space="preserve">El padrón de militantes actualizado al treinta y uno (31) de julio de dos mil dieciocho. </w:t>
      </w:r>
    </w:p>
    <w:p w:rsidR="001A23E2" w:rsidRPr="00864D82" w:rsidRDefault="001A23E2" w:rsidP="00AB15FB">
      <w:pPr>
        <w:spacing w:before="100" w:beforeAutospacing="1" w:after="100" w:afterAutospacing="1" w:line="360" w:lineRule="auto"/>
        <w:jc w:val="both"/>
        <w:rPr>
          <w:rFonts w:ascii="Palatino Linotype" w:hAnsi="Palatino Linotype" w:cs="Arial"/>
          <w:lang w:val="es-MX"/>
        </w:rPr>
      </w:pPr>
      <w:r w:rsidRPr="00864D82">
        <w:rPr>
          <w:rFonts w:ascii="Palatino Linotype" w:hAnsi="Palatino Linotype" w:cs="Arial"/>
          <w:lang w:val="es-MX"/>
        </w:rPr>
        <w:t xml:space="preserve">En ese sentido, la que suscribe reitera, que si bien coincide en términos generales con el estudio de la resolución en comento, </w:t>
      </w:r>
      <w:r>
        <w:rPr>
          <w:rFonts w:ascii="Palatino Linotype" w:hAnsi="Palatino Linotype" w:cs="Arial"/>
          <w:lang w:val="es-MX"/>
        </w:rPr>
        <w:t>no obstante considero que respecto</w:t>
      </w:r>
      <w:r w:rsidR="0022349E">
        <w:rPr>
          <w:rFonts w:ascii="Palatino Linotype" w:hAnsi="Palatino Linotype" w:cs="Arial"/>
          <w:lang w:val="es-MX"/>
        </w:rPr>
        <w:t xml:space="preserve"> a</w:t>
      </w:r>
      <w:r>
        <w:rPr>
          <w:rFonts w:ascii="Palatino Linotype" w:hAnsi="Palatino Linotype" w:cs="Arial"/>
          <w:lang w:val="es-MX"/>
        </w:rPr>
        <w:t xml:space="preserve">l inciso a) del resolutivo SEGUNDO, </w:t>
      </w:r>
      <w:r w:rsidRPr="00864D82">
        <w:rPr>
          <w:rFonts w:ascii="Palatino Linotype" w:hAnsi="Palatino Linotype" w:cs="Arial"/>
          <w:lang w:val="es-MX"/>
        </w:rPr>
        <w:t xml:space="preserve">debió precisarse que para el caso de no contar con la información ordenada, </w:t>
      </w:r>
      <w:r>
        <w:rPr>
          <w:rFonts w:ascii="Palatino Linotype" w:hAnsi="Palatino Linotype" w:cs="Arial"/>
          <w:b/>
          <w:lang w:val="es-MX"/>
        </w:rPr>
        <w:t>EL SUJE</w:t>
      </w:r>
      <w:r w:rsidRPr="002F73FF">
        <w:rPr>
          <w:rFonts w:ascii="Palatino Linotype" w:hAnsi="Palatino Linotype" w:cs="Arial"/>
          <w:b/>
          <w:lang w:val="es-MX"/>
        </w:rPr>
        <w:t xml:space="preserve">TO OBLIGADO </w:t>
      </w:r>
      <w:r w:rsidRPr="00864D82">
        <w:rPr>
          <w:rFonts w:ascii="Palatino Linotype" w:hAnsi="Palatino Linotype" w:cs="Arial"/>
          <w:lang w:val="es-MX"/>
        </w:rPr>
        <w:t>deberá emitir y hacer del conocimiento a</w:t>
      </w:r>
      <w:r>
        <w:rPr>
          <w:rFonts w:ascii="Palatino Linotype" w:hAnsi="Palatino Linotype" w:cs="Arial"/>
          <w:lang w:val="es-MX"/>
        </w:rPr>
        <w:t>l</w:t>
      </w:r>
      <w:r w:rsidRPr="00864D82">
        <w:rPr>
          <w:rFonts w:ascii="Palatino Linotype" w:hAnsi="Palatino Linotype" w:cs="Arial"/>
          <w:lang w:val="es-MX"/>
        </w:rPr>
        <w:t xml:space="preserve"> </w:t>
      </w:r>
      <w:r w:rsidRPr="00864D82">
        <w:rPr>
          <w:rFonts w:ascii="Palatino Linotype" w:hAnsi="Palatino Linotype" w:cs="Arial"/>
          <w:b/>
          <w:lang w:val="es-MX"/>
        </w:rPr>
        <w:t>RECURRENTE</w:t>
      </w:r>
      <w:r w:rsidRPr="00864D82">
        <w:rPr>
          <w:rFonts w:ascii="Palatino Linotype" w:hAnsi="Palatino Linotype" w:cs="Arial"/>
          <w:lang w:val="es-MX"/>
        </w:rPr>
        <w:t xml:space="preserve"> del Acuerdo de Inexistencia de la información. </w:t>
      </w:r>
    </w:p>
    <w:p w:rsidR="001A23E2" w:rsidRDefault="001A23E2" w:rsidP="00AB15FB">
      <w:pPr>
        <w:spacing w:before="100" w:beforeAutospacing="1" w:after="100" w:afterAutospacing="1" w:line="360" w:lineRule="auto"/>
        <w:jc w:val="both"/>
        <w:rPr>
          <w:rFonts w:ascii="Palatino Linotype" w:hAnsi="Palatino Linotype" w:cs="Arial"/>
          <w:lang w:val="es-MX"/>
        </w:rPr>
      </w:pPr>
      <w:r w:rsidRPr="00864D82">
        <w:rPr>
          <w:rFonts w:ascii="Palatino Linotype" w:hAnsi="Palatino Linotype" w:cs="Arial"/>
          <w:lang w:val="es-MX"/>
        </w:rPr>
        <w:t>Lo anterior</w:t>
      </w:r>
      <w:r>
        <w:rPr>
          <w:rFonts w:ascii="Palatino Linotype" w:hAnsi="Palatino Linotype" w:cs="Arial"/>
          <w:lang w:val="es-MX"/>
        </w:rPr>
        <w:t>, obedece a que</w:t>
      </w:r>
      <w:r w:rsidRPr="00864D82">
        <w:rPr>
          <w:rFonts w:ascii="Palatino Linotype" w:hAnsi="Palatino Linotype" w:cs="Arial"/>
          <w:lang w:val="es-MX"/>
        </w:rPr>
        <w:t xml:space="preserve"> de acuerdo </w:t>
      </w:r>
      <w:r>
        <w:rPr>
          <w:rFonts w:ascii="Palatino Linotype" w:hAnsi="Palatino Linotype" w:cs="Arial"/>
          <w:lang w:val="es-MX"/>
        </w:rPr>
        <w:t>a la Ley de Transparencia y Acceso a la Información Pública del Estado de México y Municipios en su numeral 100</w:t>
      </w:r>
      <w:r w:rsidR="00215B82">
        <w:rPr>
          <w:rFonts w:ascii="Palatino Linotype" w:hAnsi="Palatino Linotype" w:cs="Arial"/>
          <w:lang w:val="es-MX"/>
        </w:rPr>
        <w:t>,</w:t>
      </w:r>
      <w:r>
        <w:rPr>
          <w:rFonts w:ascii="Palatino Linotype" w:hAnsi="Palatino Linotype" w:cs="Arial"/>
          <w:lang w:val="es-MX"/>
        </w:rPr>
        <w:t xml:space="preserve"> fracción I que a la letra dice:</w:t>
      </w:r>
    </w:p>
    <w:p w:rsidR="001A23E2" w:rsidRPr="001A23E2" w:rsidRDefault="001A23E2" w:rsidP="001A23E2">
      <w:pPr>
        <w:spacing w:before="100" w:beforeAutospacing="1" w:after="100" w:afterAutospacing="1"/>
        <w:ind w:left="851" w:right="757"/>
        <w:jc w:val="both"/>
        <w:rPr>
          <w:rFonts w:ascii="Palatino Linotype" w:hAnsi="Palatino Linotype"/>
          <w:i/>
          <w:sz w:val="22"/>
          <w:szCs w:val="22"/>
        </w:rPr>
      </w:pPr>
      <w:r w:rsidRPr="00215B82">
        <w:rPr>
          <w:rFonts w:ascii="Palatino Linotype" w:hAnsi="Palatino Linotype"/>
          <w:b/>
          <w:i/>
          <w:sz w:val="22"/>
          <w:szCs w:val="22"/>
        </w:rPr>
        <w:lastRenderedPageBreak/>
        <w:t>Artículo 100.</w:t>
      </w:r>
      <w:r w:rsidRPr="001A23E2">
        <w:rPr>
          <w:rFonts w:ascii="Palatino Linotype" w:hAnsi="Palatino Linotype"/>
          <w:i/>
          <w:sz w:val="22"/>
          <w:szCs w:val="22"/>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 </w:t>
      </w:r>
    </w:p>
    <w:p w:rsidR="001A23E2" w:rsidRPr="001A23E2" w:rsidRDefault="001A23E2" w:rsidP="001A23E2">
      <w:pPr>
        <w:spacing w:before="100" w:beforeAutospacing="1" w:after="100" w:afterAutospacing="1"/>
        <w:ind w:left="851" w:right="757"/>
        <w:jc w:val="both"/>
        <w:rPr>
          <w:rFonts w:ascii="Palatino Linotype" w:hAnsi="Palatino Linotype"/>
          <w:i/>
          <w:sz w:val="22"/>
          <w:szCs w:val="22"/>
        </w:rPr>
      </w:pPr>
      <w:r w:rsidRPr="00215B82">
        <w:rPr>
          <w:rFonts w:ascii="Palatino Linotype" w:hAnsi="Palatino Linotype"/>
          <w:b/>
          <w:i/>
          <w:sz w:val="22"/>
          <w:szCs w:val="22"/>
        </w:rPr>
        <w:t>I.</w:t>
      </w:r>
      <w:r w:rsidRPr="001A23E2">
        <w:rPr>
          <w:rFonts w:ascii="Palatino Linotype" w:hAnsi="Palatino Linotype"/>
          <w:i/>
          <w:sz w:val="22"/>
          <w:szCs w:val="22"/>
        </w:rPr>
        <w:t xml:space="preserve"> El padrón de afiliados o militantes de los partidos políticos estatales, que contendrá exclusivamente: apellidos, nombre o nombres, fechas de afiliación y entidad de residencia;</w:t>
      </w:r>
    </w:p>
    <w:p w:rsidR="001A23E2" w:rsidRPr="001A23E2" w:rsidRDefault="001A23E2" w:rsidP="001A23E2">
      <w:pPr>
        <w:spacing w:before="100" w:beforeAutospacing="1" w:after="100" w:afterAutospacing="1"/>
        <w:ind w:left="851" w:right="757"/>
        <w:jc w:val="both"/>
        <w:rPr>
          <w:rFonts w:ascii="Palatino Linotype" w:hAnsi="Palatino Linotype" w:cs="Helvetica"/>
          <w:i/>
          <w:sz w:val="22"/>
          <w:szCs w:val="22"/>
        </w:rPr>
      </w:pPr>
      <w:r w:rsidRPr="001A23E2">
        <w:rPr>
          <w:rFonts w:ascii="Palatino Linotype" w:hAnsi="Palatino Linotype"/>
          <w:i/>
          <w:sz w:val="22"/>
          <w:szCs w:val="22"/>
        </w:rPr>
        <w:t>…”</w:t>
      </w:r>
    </w:p>
    <w:p w:rsidR="001A23E2" w:rsidRPr="00D90711" w:rsidRDefault="001A23E2" w:rsidP="00AB15FB">
      <w:pPr>
        <w:spacing w:before="100" w:beforeAutospacing="1" w:after="100" w:afterAutospacing="1" w:line="360" w:lineRule="auto"/>
        <w:jc w:val="both"/>
        <w:rPr>
          <w:rFonts w:ascii="Palatino Linotype" w:hAnsi="Palatino Linotype" w:cs="Arial"/>
        </w:rPr>
      </w:pPr>
      <w:r w:rsidRPr="00864D82">
        <w:rPr>
          <w:rFonts w:ascii="Palatino Linotype" w:hAnsi="Palatino Linotype" w:cs="Arial"/>
          <w:lang w:val="es-MX"/>
        </w:rPr>
        <w:t xml:space="preserve">Derivado de lo anterior, es claro que </w:t>
      </w:r>
      <w:r w:rsidRPr="00864D82">
        <w:rPr>
          <w:rFonts w:ascii="Palatino Linotype" w:hAnsi="Palatino Linotype" w:cs="Arial"/>
          <w:b/>
          <w:lang w:val="es-MX"/>
        </w:rPr>
        <w:t>EL SUJETO OBLIGADO</w:t>
      </w:r>
      <w:r w:rsidRPr="00864D82">
        <w:rPr>
          <w:rFonts w:ascii="Palatino Linotype" w:hAnsi="Palatino Linotype" w:cs="Arial"/>
          <w:lang w:val="es-MX"/>
        </w:rPr>
        <w:t xml:space="preserve"> está constreñido a cont</w:t>
      </w:r>
      <w:r>
        <w:rPr>
          <w:rFonts w:ascii="Palatino Linotype" w:hAnsi="Palatino Linotype" w:cs="Arial"/>
          <w:lang w:val="es-MX"/>
        </w:rPr>
        <w:t>ar con la información</w:t>
      </w:r>
      <w:r w:rsidR="00215B82">
        <w:rPr>
          <w:rFonts w:ascii="Palatino Linotype" w:hAnsi="Palatino Linotype" w:cs="Arial"/>
          <w:lang w:val="es-MX"/>
        </w:rPr>
        <w:t>.</w:t>
      </w:r>
    </w:p>
    <w:p w:rsidR="001A23E2" w:rsidRPr="00D90711" w:rsidRDefault="001A23E2" w:rsidP="00AB15FB">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1A23E2" w:rsidRPr="00D90711" w:rsidRDefault="001A23E2" w:rsidP="00AB15FB">
      <w:pPr>
        <w:shd w:val="clear" w:color="auto" w:fill="FFFFFF"/>
        <w:spacing w:line="360" w:lineRule="atLeast"/>
        <w:jc w:val="both"/>
        <w:rPr>
          <w:color w:val="222222"/>
          <w:lang w:val="es-MX" w:eastAsia="es-MX"/>
        </w:rPr>
      </w:pPr>
      <w:r w:rsidRPr="00D90711">
        <w:rPr>
          <w:rFonts w:ascii="Palatino Linotype" w:hAnsi="Palatino Linotype"/>
          <w:color w:val="2222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19.</w:t>
      </w:r>
      <w:r w:rsidRPr="00D90711">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Si el sujeto obligado, en el ejercicio de sus atribuciones, debía generar, </w:t>
      </w:r>
      <w:r w:rsidRPr="00D90711">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169</w:t>
      </w:r>
      <w:r w:rsidRPr="00D90711">
        <w:rPr>
          <w:rFonts w:ascii="Palatino Linotype" w:hAnsi="Palatino Linotype"/>
          <w:i/>
          <w:iCs/>
          <w:color w:val="222222"/>
          <w:sz w:val="22"/>
          <w:szCs w:val="22"/>
          <w:lang w:val="es-MX" w:eastAsia="es-MX"/>
        </w:rPr>
        <w:t>. Cuando la información no se encuentre en los archivos del sujeto obligado, el Comité de Transparencia:</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 Analizará el caso y tomará las medidas necesarias para localizar la información;</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 Expedirá una resolución que confirme la inexistencia del documento;</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ind w:left="709" w:right="757"/>
        <w:jc w:val="both"/>
        <w:rPr>
          <w:color w:val="222222"/>
          <w:lang w:val="es-MX" w:eastAsia="es-MX"/>
        </w:rPr>
      </w:pPr>
      <w:r w:rsidRPr="00D90711">
        <w:rPr>
          <w:rFonts w:ascii="Palatino Linotype" w:hAnsi="Palatino Linotype"/>
          <w:b/>
          <w:bCs/>
          <w:i/>
          <w:iCs/>
          <w:color w:val="222222"/>
          <w:sz w:val="22"/>
          <w:szCs w:val="22"/>
          <w:lang w:val="es-MX" w:eastAsia="es-MX"/>
        </w:rPr>
        <w:t>Artículo 170</w:t>
      </w:r>
      <w:r w:rsidRPr="00D90711">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1A23E2" w:rsidRPr="00D90711" w:rsidRDefault="001A23E2" w:rsidP="00AB15FB">
      <w:pPr>
        <w:shd w:val="clear" w:color="auto" w:fill="FFFFFF"/>
        <w:spacing w:line="360" w:lineRule="atLeast"/>
        <w:ind w:left="709" w:right="757"/>
        <w:jc w:val="both"/>
        <w:rPr>
          <w:color w:val="222222"/>
          <w:lang w:val="es-MX" w:eastAsia="es-MX"/>
        </w:rPr>
      </w:pPr>
      <w:r w:rsidRPr="00D90711">
        <w:rPr>
          <w:rFonts w:ascii="Palatino Linotype" w:hAnsi="Palatino Linotype"/>
          <w:i/>
          <w:iCs/>
          <w:color w:val="222222"/>
          <w:sz w:val="22"/>
          <w:szCs w:val="22"/>
          <w:lang w:val="es-MX" w:eastAsia="es-MX"/>
        </w:rPr>
        <w:t> </w:t>
      </w:r>
    </w:p>
    <w:p w:rsidR="001A23E2" w:rsidRPr="00D90711" w:rsidRDefault="001A23E2" w:rsidP="00AB15FB">
      <w:pPr>
        <w:shd w:val="clear" w:color="auto" w:fill="FFFFFF"/>
        <w:spacing w:line="360" w:lineRule="auto"/>
        <w:jc w:val="both"/>
        <w:rPr>
          <w:color w:val="222222"/>
          <w:lang w:val="es-MX" w:eastAsia="es-MX"/>
        </w:rPr>
      </w:pPr>
      <w:r w:rsidRPr="00D90711">
        <w:rPr>
          <w:rFonts w:ascii="Palatino Linotype" w:hAnsi="Palatino Linotype"/>
          <w:color w:val="222222"/>
          <w:lang w:val="es-MX" w:eastAsia="es-MX"/>
        </w:rPr>
        <w:t>Así, se establece para el caso de que </w:t>
      </w:r>
      <w:r w:rsidRPr="00D90711">
        <w:rPr>
          <w:rFonts w:ascii="Palatino Linotype" w:hAnsi="Palatino Linotype"/>
          <w:b/>
          <w:bCs/>
          <w:color w:val="222222"/>
          <w:lang w:val="es-MX" w:eastAsia="es-MX"/>
        </w:rPr>
        <w:t>EL SUJETO OBLIGADO</w:t>
      </w:r>
      <w:r w:rsidRPr="00D90711">
        <w:rPr>
          <w:rFonts w:ascii="Palatino Linotype" w:hAnsi="Palatino Linotype"/>
          <w:color w:val="222222"/>
          <w:lang w:val="es-MX" w:eastAsia="es-MX"/>
        </w:rPr>
        <w:t> </w:t>
      </w:r>
      <w:r w:rsidR="0022349E">
        <w:rPr>
          <w:rFonts w:ascii="Palatino Linotype" w:hAnsi="Palatino Linotype"/>
          <w:color w:val="222222"/>
          <w:lang w:val="es-MX" w:eastAsia="es-MX"/>
        </w:rPr>
        <w:t>genere posea o administre</w:t>
      </w:r>
      <w:r w:rsidRPr="00D90711">
        <w:rPr>
          <w:rFonts w:ascii="Palatino Linotype" w:hAnsi="Palatino Linotype"/>
          <w:color w:val="222222"/>
          <w:lang w:val="es-MX" w:eastAsia="es-MX"/>
        </w:rPr>
        <w:t xml:space="preserve"> la información, derivado de sus facultades </w:t>
      </w:r>
      <w:r w:rsidR="0022349E">
        <w:rPr>
          <w:rFonts w:ascii="Palatino Linotype" w:hAnsi="Palatino Linotype"/>
          <w:color w:val="222222"/>
          <w:lang w:val="es-MX" w:eastAsia="es-MX"/>
        </w:rPr>
        <w:t>empero dada la búsqueda exhaustiva no se tenga</w:t>
      </w:r>
      <w:r w:rsidRPr="00D90711">
        <w:rPr>
          <w:rFonts w:ascii="Palatino Linotype" w:hAnsi="Palatino Linotype"/>
          <w:color w:val="222222"/>
          <w:lang w:val="es-MX" w:eastAsia="es-MX"/>
        </w:rPr>
        <w:t xml:space="preserve"> registro de ello, el Comité de Información debe emitir un Acuerdo de Inexistencia de la información, en el que detalle las razones del por qué no obra en sus archivos.</w:t>
      </w:r>
    </w:p>
    <w:p w:rsidR="001A23E2" w:rsidRDefault="001A23E2" w:rsidP="001A23E2">
      <w:pPr>
        <w:spacing w:before="100" w:beforeAutospacing="1" w:after="100" w:afterAutospacing="1" w:line="360" w:lineRule="auto"/>
        <w:jc w:val="both"/>
        <w:rPr>
          <w:rFonts w:ascii="Palatino Linotype" w:hAnsi="Palatino Linotype" w:cs="Arial"/>
          <w:b/>
        </w:rPr>
      </w:pPr>
      <w:r>
        <w:rPr>
          <w:rFonts w:ascii="Palatino Linotype" w:hAnsi="Palatino Linotype" w:cs="Arial"/>
        </w:rPr>
        <w:t>Por lo que</w:t>
      </w:r>
      <w:r w:rsidRPr="00864D82">
        <w:rPr>
          <w:rFonts w:ascii="Palatino Linotype" w:hAnsi="Palatino Linotype" w:cs="Arial"/>
        </w:rPr>
        <w:t xml:space="preserve">, la que suscribe emite </w:t>
      </w:r>
      <w:r w:rsidRPr="00864D82">
        <w:rPr>
          <w:rFonts w:ascii="Palatino Linotype" w:hAnsi="Palatino Linotype" w:cs="Arial"/>
          <w:b/>
        </w:rPr>
        <w:t>VOTO PARTICULAR</w:t>
      </w:r>
      <w:r w:rsidRPr="00864D82">
        <w:rPr>
          <w:rFonts w:ascii="Palatino Linotype" w:hAnsi="Palatino Linotype" w:cs="Arial"/>
        </w:rPr>
        <w:t xml:space="preserve">, pues se insiste que existe fuente obligacional para que </w:t>
      </w:r>
      <w:r w:rsidRPr="00864D82">
        <w:rPr>
          <w:rFonts w:ascii="Palatino Linotype" w:hAnsi="Palatino Linotype" w:cs="Arial"/>
          <w:b/>
        </w:rPr>
        <w:t>EL SUJETO OBLIGADO</w:t>
      </w:r>
      <w:r w:rsidRPr="00864D82">
        <w:rPr>
          <w:rFonts w:ascii="Palatino Linotype" w:hAnsi="Palatino Linotype" w:cs="Arial"/>
        </w:rPr>
        <w:t xml:space="preserve"> cuente con la información ordenada</w:t>
      </w:r>
      <w:r>
        <w:rPr>
          <w:rFonts w:ascii="Palatino Linotype" w:hAnsi="Palatino Linotype" w:cs="Arial"/>
        </w:rPr>
        <w:t xml:space="preserve"> en </w:t>
      </w:r>
      <w:r w:rsidR="00215B82">
        <w:rPr>
          <w:rFonts w:ascii="Palatino Linotype" w:hAnsi="Palatino Linotype" w:cs="Arial"/>
        </w:rPr>
        <w:t>el inciso a)</w:t>
      </w:r>
      <w:r>
        <w:rPr>
          <w:rFonts w:ascii="Palatino Linotype" w:hAnsi="Palatino Linotype" w:cs="Arial"/>
        </w:rPr>
        <w:t xml:space="preserve"> del resolutivo SEGUNDO</w:t>
      </w:r>
      <w:r w:rsidRPr="00864D82">
        <w:rPr>
          <w:rFonts w:ascii="Palatino Linotype" w:hAnsi="Palatino Linotype" w:cs="Arial"/>
        </w:rPr>
        <w:t xml:space="preserve">; por </w:t>
      </w:r>
      <w:r>
        <w:rPr>
          <w:rFonts w:ascii="Palatino Linotype" w:hAnsi="Palatino Linotype" w:cs="Arial"/>
        </w:rPr>
        <w:t>lo que</w:t>
      </w:r>
      <w:r w:rsidRPr="00864D82">
        <w:rPr>
          <w:rFonts w:ascii="Palatino Linotype" w:hAnsi="Palatino Linotype" w:cs="Arial"/>
        </w:rPr>
        <w:t xml:space="preserve">, debió considerarse </w:t>
      </w:r>
      <w:r>
        <w:rPr>
          <w:rFonts w:ascii="Palatino Linotype" w:hAnsi="Palatino Linotype" w:cs="Arial"/>
        </w:rPr>
        <w:t>tanto en</w:t>
      </w:r>
      <w:r w:rsidRPr="00864D82">
        <w:rPr>
          <w:rFonts w:ascii="Palatino Linotype" w:hAnsi="Palatino Linotype" w:cs="Arial"/>
        </w:rPr>
        <w:t xml:space="preserve"> el </w:t>
      </w:r>
      <w:r>
        <w:rPr>
          <w:rFonts w:ascii="Palatino Linotype" w:hAnsi="Palatino Linotype" w:cs="Arial"/>
        </w:rPr>
        <w:t xml:space="preserve">estudio del recurso de revisión, así como en el </w:t>
      </w:r>
      <w:r w:rsidRPr="00864D82">
        <w:rPr>
          <w:rFonts w:ascii="Palatino Linotype" w:hAnsi="Palatino Linotype" w:cs="Arial"/>
        </w:rPr>
        <w:t>resolutivo</w:t>
      </w:r>
      <w:r>
        <w:rPr>
          <w:rFonts w:ascii="Palatino Linotype" w:hAnsi="Palatino Linotype" w:cs="Arial"/>
        </w:rPr>
        <w:t xml:space="preserve"> que corresponde</w:t>
      </w:r>
      <w:r w:rsidRPr="00864D82">
        <w:rPr>
          <w:rFonts w:ascii="Palatino Linotype" w:hAnsi="Palatino Linotype" w:cs="Arial"/>
        </w:rPr>
        <w:t>, que para el caso de no contar con la información</w:t>
      </w:r>
      <w:r w:rsidR="0022349E">
        <w:rPr>
          <w:rFonts w:ascii="Palatino Linotype" w:hAnsi="Palatino Linotype" w:cs="Arial"/>
        </w:rPr>
        <w:t xml:space="preserve"> empero esta se hubiese generado</w:t>
      </w:r>
      <w:r w:rsidRPr="00864D82">
        <w:rPr>
          <w:rFonts w:ascii="Palatino Linotype" w:hAnsi="Palatino Linotype" w:cs="Arial"/>
        </w:rPr>
        <w:t xml:space="preserve">, </w:t>
      </w:r>
      <w:r w:rsidRPr="00864D82">
        <w:rPr>
          <w:rFonts w:ascii="Palatino Linotype" w:hAnsi="Palatino Linotype" w:cs="Arial"/>
          <w:b/>
        </w:rPr>
        <w:t xml:space="preserve">EL SUJETO OBLIGADO </w:t>
      </w:r>
      <w:r w:rsidRPr="00864D82">
        <w:rPr>
          <w:rFonts w:ascii="Palatino Linotype" w:hAnsi="Palatino Linotype" w:cs="Arial"/>
        </w:rPr>
        <w:t>debería emitir el Acuerdo de Inexistenci</w:t>
      </w:r>
      <w:r w:rsidR="0022349E">
        <w:rPr>
          <w:rFonts w:ascii="Palatino Linotype" w:hAnsi="Palatino Linotype" w:cs="Arial"/>
        </w:rPr>
        <w:t>a y hacerlo del conocimiento del</w:t>
      </w:r>
      <w:r w:rsidRPr="00864D82">
        <w:rPr>
          <w:rFonts w:ascii="Palatino Linotype" w:hAnsi="Palatino Linotype" w:cs="Arial"/>
        </w:rPr>
        <w:t xml:space="preserve"> </w:t>
      </w:r>
      <w:r w:rsidRPr="00864D82">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en atención a los artículos 19, 169 y 170 de la Ley de Transparencia y Acceso a la Información Pública del Estado de México y Municipios</w:t>
      </w:r>
      <w:r>
        <w:rPr>
          <w:rFonts w:ascii="Palatino Linotype" w:hAnsi="Palatino Linotype" w:cs="Arial"/>
          <w:b/>
        </w:rPr>
        <w:t xml:space="preserve"> </w:t>
      </w:r>
      <w:r w:rsidRPr="00D90711">
        <w:rPr>
          <w:rFonts w:ascii="Palatino Linotype" w:hAnsi="Palatino Linotype" w:cs="Arial"/>
        </w:rPr>
        <w:t>a fin de dar certez</w:t>
      </w:r>
      <w:r>
        <w:rPr>
          <w:rFonts w:ascii="Palatino Linotype" w:hAnsi="Palatino Linotype" w:cs="Arial"/>
        </w:rPr>
        <w:t>a jurídica al particular conforme a la fracción I del artículo 9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E47F06" w:rsidRDefault="00E47F06" w:rsidP="00837742">
            <w:pPr>
              <w:jc w:val="center"/>
              <w:rPr>
                <w:rFonts w:ascii="Palatino Linotype" w:hAnsi="Palatino Linotype"/>
                <w:b/>
              </w:rPr>
            </w:pPr>
          </w:p>
          <w:p w:rsidR="009701AB" w:rsidRPr="00C8035B" w:rsidRDefault="009701AB" w:rsidP="00837742">
            <w:pPr>
              <w:jc w:val="center"/>
              <w:rPr>
                <w:rFonts w:ascii="Palatino Linotype" w:hAnsi="Palatino Linotype"/>
                <w:b/>
              </w:rPr>
            </w:pPr>
            <w:r w:rsidRPr="00C8035B">
              <w:rPr>
                <w:rFonts w:ascii="Palatino Linotype" w:hAnsi="Palatino Linotype"/>
                <w:b/>
              </w:rPr>
              <w:t>EVA ABAID YAPUR</w:t>
            </w:r>
          </w:p>
          <w:p w:rsidR="009701AB" w:rsidRDefault="009701AB" w:rsidP="00E47F06">
            <w:pPr>
              <w:jc w:val="center"/>
              <w:rPr>
                <w:rFonts w:ascii="Palatino Linotype" w:hAnsi="Palatino Linotype"/>
                <w:b/>
              </w:rPr>
            </w:pPr>
            <w:r w:rsidRPr="00C8035B">
              <w:rPr>
                <w:rFonts w:ascii="Palatino Linotype" w:hAnsi="Palatino Linotype"/>
                <w:b/>
              </w:rPr>
              <w:t>COMISIONADA</w:t>
            </w:r>
          </w:p>
          <w:p w:rsidR="0046403D" w:rsidRPr="00C8035B" w:rsidRDefault="0046403D" w:rsidP="00E47F06">
            <w:pPr>
              <w:jc w:val="center"/>
              <w:rPr>
                <w:rFonts w:ascii="Palatino Linotype" w:hAnsi="Palatino Linotype"/>
                <w:b/>
              </w:rPr>
            </w:pPr>
            <w:r>
              <w:rPr>
                <w:rFonts w:ascii="Palatino Linotype" w:hAnsi="Palatino Linotype"/>
                <w:b/>
              </w:rPr>
              <w:t>(RÚBRICA)</w:t>
            </w:r>
            <w:bookmarkStart w:id="0" w:name="_GoBack"/>
            <w:bookmarkEnd w:id="0"/>
          </w:p>
        </w:tc>
      </w:tr>
    </w:tbl>
    <w:p w:rsidR="00463EE4" w:rsidRPr="00D107F9" w:rsidRDefault="009701AB" w:rsidP="00E47F06">
      <w:pPr>
        <w:jc w:val="both"/>
        <w:rPr>
          <w:rFonts w:ascii="Palatino Linotype" w:eastAsia="Calibri" w:hAnsi="Palatino Linotype" w:cs="Arial"/>
          <w:color w:val="000000" w:themeColor="text1"/>
          <w:sz w:val="18"/>
          <w:szCs w:val="20"/>
        </w:rPr>
      </w:pPr>
      <w:r w:rsidRPr="00D107F9">
        <w:rPr>
          <w:rFonts w:ascii="Palatino Linotype" w:eastAsia="Calibri" w:hAnsi="Palatino Linotype" w:cs="Arial"/>
          <w:color w:val="000000" w:themeColor="text1"/>
          <w:sz w:val="18"/>
          <w:szCs w:val="20"/>
        </w:rPr>
        <w:t xml:space="preserve">Esta hoja corresponde </w:t>
      </w:r>
      <w:r w:rsidR="00A23390">
        <w:rPr>
          <w:rFonts w:ascii="Palatino Linotype" w:eastAsia="Calibri" w:hAnsi="Palatino Linotype" w:cs="Arial"/>
          <w:color w:val="000000" w:themeColor="text1"/>
          <w:sz w:val="18"/>
          <w:szCs w:val="20"/>
        </w:rPr>
        <w:t>al voto particular emitido en la resolución del</w:t>
      </w:r>
      <w:r w:rsidRPr="00D107F9">
        <w:rPr>
          <w:rFonts w:ascii="Palatino Linotype" w:eastAsia="Calibri" w:hAnsi="Palatino Linotype" w:cs="Arial"/>
          <w:color w:val="000000" w:themeColor="text1"/>
          <w:sz w:val="18"/>
          <w:szCs w:val="20"/>
        </w:rPr>
        <w:t xml:space="preserve"> recurso de revisión 0</w:t>
      </w:r>
      <w:r w:rsidR="003F0E93">
        <w:rPr>
          <w:rFonts w:ascii="Palatino Linotype" w:eastAsia="Calibri" w:hAnsi="Palatino Linotype" w:cs="Arial"/>
          <w:color w:val="000000" w:themeColor="text1"/>
          <w:sz w:val="18"/>
          <w:szCs w:val="20"/>
        </w:rPr>
        <w:t>3288</w:t>
      </w:r>
      <w:r w:rsidR="00F27F5C">
        <w:rPr>
          <w:rFonts w:ascii="Palatino Linotype" w:eastAsia="Calibri" w:hAnsi="Palatino Linotype" w:cs="Arial"/>
          <w:color w:val="000000" w:themeColor="text1"/>
          <w:sz w:val="18"/>
          <w:szCs w:val="20"/>
        </w:rPr>
        <w:t>/</w:t>
      </w:r>
      <w:r w:rsidRPr="00D107F9">
        <w:rPr>
          <w:rFonts w:ascii="Palatino Linotype" w:eastAsia="Calibri" w:hAnsi="Palatino Linotype" w:cs="Arial"/>
          <w:color w:val="000000" w:themeColor="text1"/>
          <w:sz w:val="18"/>
          <w:szCs w:val="20"/>
        </w:rPr>
        <w:t>INFOEM/IP/RR/201</w:t>
      </w:r>
      <w:r w:rsidR="00FD3B8E">
        <w:rPr>
          <w:rFonts w:ascii="Palatino Linotype" w:eastAsia="Calibri" w:hAnsi="Palatino Linotype" w:cs="Arial"/>
          <w:color w:val="000000" w:themeColor="text1"/>
          <w:sz w:val="18"/>
          <w:szCs w:val="20"/>
        </w:rPr>
        <w:t>8</w:t>
      </w:r>
      <w:r w:rsidRPr="00D107F9">
        <w:rPr>
          <w:rFonts w:ascii="Palatino Linotype" w:eastAsia="Calibri" w:hAnsi="Palatino Linotype" w:cs="Arial"/>
          <w:color w:val="000000" w:themeColor="text1"/>
          <w:sz w:val="18"/>
          <w:szCs w:val="20"/>
        </w:rPr>
        <w:t>, aprobado el</w:t>
      </w:r>
      <w:r w:rsidR="00101AC9" w:rsidRPr="00D107F9">
        <w:rPr>
          <w:rFonts w:ascii="Palatino Linotype" w:eastAsia="Calibri" w:hAnsi="Palatino Linotype" w:cs="Arial"/>
          <w:color w:val="000000" w:themeColor="text1"/>
          <w:sz w:val="18"/>
          <w:szCs w:val="20"/>
        </w:rPr>
        <w:t xml:space="preserve"> </w:t>
      </w:r>
      <w:r w:rsidR="003F0E93">
        <w:rPr>
          <w:rFonts w:ascii="Palatino Linotype" w:eastAsia="Calibri" w:hAnsi="Palatino Linotype" w:cs="Arial"/>
          <w:color w:val="000000" w:themeColor="text1"/>
          <w:sz w:val="18"/>
          <w:szCs w:val="20"/>
        </w:rPr>
        <w:t xml:space="preserve">treinta y uno de octubre </w:t>
      </w:r>
      <w:r w:rsidR="001B2882">
        <w:rPr>
          <w:rFonts w:ascii="Palatino Linotype" w:eastAsia="Calibri" w:hAnsi="Palatino Linotype" w:cs="Arial"/>
          <w:color w:val="000000" w:themeColor="text1"/>
          <w:sz w:val="18"/>
          <w:szCs w:val="20"/>
        </w:rPr>
        <w:t>de dos mil dieciocho</w:t>
      </w:r>
      <w:r w:rsidRPr="00D107F9">
        <w:rPr>
          <w:rFonts w:ascii="Palatino Linotype" w:eastAsia="Calibri" w:hAnsi="Palatino Linotype" w:cs="Arial"/>
          <w:color w:val="000000" w:themeColor="text1"/>
          <w:sz w:val="18"/>
          <w:szCs w:val="20"/>
        </w:rPr>
        <w:t xml:space="preserve">. </w:t>
      </w:r>
    </w:p>
    <w:p w:rsidR="00DC5C4E" w:rsidRPr="00D107F9" w:rsidRDefault="009701AB" w:rsidP="00E47F06">
      <w:pPr>
        <w:jc w:val="both"/>
        <w:rPr>
          <w:sz w:val="18"/>
          <w:szCs w:val="20"/>
        </w:rPr>
      </w:pPr>
      <w:r w:rsidRPr="00D107F9">
        <w:rPr>
          <w:rFonts w:ascii="Palatino Linotype" w:eastAsia="Calibri" w:hAnsi="Palatino Linotype" w:cs="Arial"/>
          <w:color w:val="000000" w:themeColor="text1"/>
          <w:sz w:val="18"/>
          <w:szCs w:val="20"/>
        </w:rPr>
        <w:t>YSM/</w:t>
      </w:r>
      <w:r w:rsidR="001B2882">
        <w:rPr>
          <w:rFonts w:ascii="Palatino Linotype" w:eastAsia="Calibri" w:hAnsi="Palatino Linotype" w:cs="Arial"/>
          <w:color w:val="000000" w:themeColor="text1"/>
          <w:sz w:val="18"/>
          <w:szCs w:val="20"/>
        </w:rPr>
        <w:t>EJCA</w:t>
      </w:r>
    </w:p>
    <w:sectPr w:rsidR="00DC5C4E" w:rsidRPr="00D107F9"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3D3" w:rsidRDefault="00CA53D3" w:rsidP="00E41B3B">
      <w:r>
        <w:separator/>
      </w:r>
    </w:p>
  </w:endnote>
  <w:endnote w:type="continuationSeparator" w:id="0">
    <w:p w:rsidR="00CA53D3" w:rsidRDefault="00CA53D3"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6403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6403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3D3" w:rsidRDefault="00CA53D3" w:rsidP="00E41B3B">
      <w:r>
        <w:separator/>
      </w:r>
    </w:p>
  </w:footnote>
  <w:footnote w:type="continuationSeparator" w:id="0">
    <w:p w:rsidR="00CA53D3" w:rsidRDefault="00CA53D3"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640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779CE">
      <w:rPr>
        <w:rFonts w:ascii="Palatino Linotype" w:hAnsi="Palatino Linotype" w:cs="Arial"/>
        <w:sz w:val="20"/>
        <w:szCs w:val="20"/>
      </w:rPr>
      <w:t>0</w:t>
    </w:r>
    <w:r w:rsidR="0053698C">
      <w:rPr>
        <w:rFonts w:ascii="Palatino Linotype" w:hAnsi="Palatino Linotype" w:cs="Arial"/>
        <w:sz w:val="20"/>
        <w:szCs w:val="20"/>
      </w:rPr>
      <w:t>3288</w:t>
    </w:r>
    <w:r w:rsidR="00C8035B">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5779CE">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46403D"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7.4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640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1FB"/>
    <w:rsid w:val="00055DA2"/>
    <w:rsid w:val="00072E9A"/>
    <w:rsid w:val="00080305"/>
    <w:rsid w:val="00090AAC"/>
    <w:rsid w:val="00101AC9"/>
    <w:rsid w:val="00106889"/>
    <w:rsid w:val="00122242"/>
    <w:rsid w:val="00141D1C"/>
    <w:rsid w:val="00146755"/>
    <w:rsid w:val="00164D8A"/>
    <w:rsid w:val="00174F2A"/>
    <w:rsid w:val="0019398B"/>
    <w:rsid w:val="001A23E2"/>
    <w:rsid w:val="001A7CEE"/>
    <w:rsid w:val="001B2882"/>
    <w:rsid w:val="001B45FD"/>
    <w:rsid w:val="001C07DF"/>
    <w:rsid w:val="001C3DCD"/>
    <w:rsid w:val="001D69FC"/>
    <w:rsid w:val="001F2929"/>
    <w:rsid w:val="00215B82"/>
    <w:rsid w:val="00216380"/>
    <w:rsid w:val="0022349E"/>
    <w:rsid w:val="00236809"/>
    <w:rsid w:val="00270A69"/>
    <w:rsid w:val="00283E0B"/>
    <w:rsid w:val="00285CD1"/>
    <w:rsid w:val="00296C85"/>
    <w:rsid w:val="002C638A"/>
    <w:rsid w:val="002F2871"/>
    <w:rsid w:val="0031149D"/>
    <w:rsid w:val="00313B93"/>
    <w:rsid w:val="00324EBE"/>
    <w:rsid w:val="00331502"/>
    <w:rsid w:val="00332399"/>
    <w:rsid w:val="003343CD"/>
    <w:rsid w:val="00343A89"/>
    <w:rsid w:val="003948FF"/>
    <w:rsid w:val="003A1BFA"/>
    <w:rsid w:val="003C2F6A"/>
    <w:rsid w:val="003C6346"/>
    <w:rsid w:val="003E17C7"/>
    <w:rsid w:val="003E383D"/>
    <w:rsid w:val="003F0E93"/>
    <w:rsid w:val="00420511"/>
    <w:rsid w:val="0043533A"/>
    <w:rsid w:val="00437359"/>
    <w:rsid w:val="00440036"/>
    <w:rsid w:val="00446B28"/>
    <w:rsid w:val="00463114"/>
    <w:rsid w:val="00463EE4"/>
    <w:rsid w:val="0046403D"/>
    <w:rsid w:val="0046519A"/>
    <w:rsid w:val="004769EB"/>
    <w:rsid w:val="0048207E"/>
    <w:rsid w:val="0048476A"/>
    <w:rsid w:val="004C16FA"/>
    <w:rsid w:val="004D5A29"/>
    <w:rsid w:val="004E6C48"/>
    <w:rsid w:val="004F667F"/>
    <w:rsid w:val="0050629D"/>
    <w:rsid w:val="0053148C"/>
    <w:rsid w:val="0053698C"/>
    <w:rsid w:val="00537CDD"/>
    <w:rsid w:val="005779CE"/>
    <w:rsid w:val="005A4D7F"/>
    <w:rsid w:val="005C7C8F"/>
    <w:rsid w:val="005F3E71"/>
    <w:rsid w:val="00641735"/>
    <w:rsid w:val="0065035B"/>
    <w:rsid w:val="00654FE9"/>
    <w:rsid w:val="00661AD1"/>
    <w:rsid w:val="00672FC7"/>
    <w:rsid w:val="00674942"/>
    <w:rsid w:val="00674996"/>
    <w:rsid w:val="006801D4"/>
    <w:rsid w:val="00697966"/>
    <w:rsid w:val="006A1C64"/>
    <w:rsid w:val="006B109D"/>
    <w:rsid w:val="006B30CD"/>
    <w:rsid w:val="006D2575"/>
    <w:rsid w:val="00702D24"/>
    <w:rsid w:val="00712C80"/>
    <w:rsid w:val="00713C4A"/>
    <w:rsid w:val="007170C1"/>
    <w:rsid w:val="00725B3B"/>
    <w:rsid w:val="00733C54"/>
    <w:rsid w:val="00734D98"/>
    <w:rsid w:val="00756313"/>
    <w:rsid w:val="00767B65"/>
    <w:rsid w:val="00773942"/>
    <w:rsid w:val="007B06E6"/>
    <w:rsid w:val="007C3451"/>
    <w:rsid w:val="007C7A0C"/>
    <w:rsid w:val="0080534D"/>
    <w:rsid w:val="00811B0B"/>
    <w:rsid w:val="00817572"/>
    <w:rsid w:val="00820D1B"/>
    <w:rsid w:val="00837742"/>
    <w:rsid w:val="00842E34"/>
    <w:rsid w:val="00853753"/>
    <w:rsid w:val="008542C4"/>
    <w:rsid w:val="00864D3F"/>
    <w:rsid w:val="00880DC2"/>
    <w:rsid w:val="00892096"/>
    <w:rsid w:val="008A35FA"/>
    <w:rsid w:val="008B0732"/>
    <w:rsid w:val="008B22AB"/>
    <w:rsid w:val="008B70AA"/>
    <w:rsid w:val="008C16DF"/>
    <w:rsid w:val="008C77DB"/>
    <w:rsid w:val="008D33A8"/>
    <w:rsid w:val="008E247D"/>
    <w:rsid w:val="008E5C82"/>
    <w:rsid w:val="008F34EF"/>
    <w:rsid w:val="00914A00"/>
    <w:rsid w:val="00921F51"/>
    <w:rsid w:val="00961707"/>
    <w:rsid w:val="009701AB"/>
    <w:rsid w:val="00972394"/>
    <w:rsid w:val="00990B93"/>
    <w:rsid w:val="009B3920"/>
    <w:rsid w:val="009B519C"/>
    <w:rsid w:val="009D1CB5"/>
    <w:rsid w:val="009E3503"/>
    <w:rsid w:val="00A10D54"/>
    <w:rsid w:val="00A11081"/>
    <w:rsid w:val="00A23390"/>
    <w:rsid w:val="00A502D2"/>
    <w:rsid w:val="00A66652"/>
    <w:rsid w:val="00A956B4"/>
    <w:rsid w:val="00A96975"/>
    <w:rsid w:val="00A97455"/>
    <w:rsid w:val="00AB0719"/>
    <w:rsid w:val="00AE18DA"/>
    <w:rsid w:val="00AE2899"/>
    <w:rsid w:val="00AE7810"/>
    <w:rsid w:val="00AF78ED"/>
    <w:rsid w:val="00B17086"/>
    <w:rsid w:val="00B31030"/>
    <w:rsid w:val="00B51260"/>
    <w:rsid w:val="00B64194"/>
    <w:rsid w:val="00B716F8"/>
    <w:rsid w:val="00BB16EC"/>
    <w:rsid w:val="00BC3DF4"/>
    <w:rsid w:val="00BC6CF8"/>
    <w:rsid w:val="00C07CE2"/>
    <w:rsid w:val="00C33AE1"/>
    <w:rsid w:val="00C52D7C"/>
    <w:rsid w:val="00C60EC0"/>
    <w:rsid w:val="00C71384"/>
    <w:rsid w:val="00C8035B"/>
    <w:rsid w:val="00CA53D3"/>
    <w:rsid w:val="00CB22D2"/>
    <w:rsid w:val="00CB71BF"/>
    <w:rsid w:val="00CC4E44"/>
    <w:rsid w:val="00CD7154"/>
    <w:rsid w:val="00CE0D21"/>
    <w:rsid w:val="00CE1537"/>
    <w:rsid w:val="00CE70C8"/>
    <w:rsid w:val="00D0171B"/>
    <w:rsid w:val="00D06010"/>
    <w:rsid w:val="00D107F9"/>
    <w:rsid w:val="00D22D52"/>
    <w:rsid w:val="00D724F4"/>
    <w:rsid w:val="00DC0116"/>
    <w:rsid w:val="00DC41B0"/>
    <w:rsid w:val="00DC5C4E"/>
    <w:rsid w:val="00DC6C4E"/>
    <w:rsid w:val="00DF4164"/>
    <w:rsid w:val="00E15CE2"/>
    <w:rsid w:val="00E20B21"/>
    <w:rsid w:val="00E34AE6"/>
    <w:rsid w:val="00E415A4"/>
    <w:rsid w:val="00E41B3B"/>
    <w:rsid w:val="00E441F3"/>
    <w:rsid w:val="00E47F06"/>
    <w:rsid w:val="00E55769"/>
    <w:rsid w:val="00E77C64"/>
    <w:rsid w:val="00EB517E"/>
    <w:rsid w:val="00ED3750"/>
    <w:rsid w:val="00ED78BB"/>
    <w:rsid w:val="00EF3885"/>
    <w:rsid w:val="00F04176"/>
    <w:rsid w:val="00F161E3"/>
    <w:rsid w:val="00F26150"/>
    <w:rsid w:val="00F27F5C"/>
    <w:rsid w:val="00F4326E"/>
    <w:rsid w:val="00F50C10"/>
    <w:rsid w:val="00F64CC1"/>
    <w:rsid w:val="00F67EA5"/>
    <w:rsid w:val="00F67FFB"/>
    <w:rsid w:val="00F9070F"/>
    <w:rsid w:val="00FA0BF5"/>
    <w:rsid w:val="00FA46A6"/>
    <w:rsid w:val="00FC2815"/>
    <w:rsid w:val="00FD3B8E"/>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1707-055F-49CB-BF46-C921D0A7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7</cp:revision>
  <cp:lastPrinted>2018-11-07T00:11:00Z</cp:lastPrinted>
  <dcterms:created xsi:type="dcterms:W3CDTF">2018-11-06T01:14:00Z</dcterms:created>
  <dcterms:modified xsi:type="dcterms:W3CDTF">2018-11-21T02:39:00Z</dcterms:modified>
</cp:coreProperties>
</file>